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4F" w:rsidRPr="001A7F4F" w:rsidRDefault="001A7F4F" w:rsidP="00432F82">
      <w:pPr>
        <w:jc w:val="center"/>
        <w:rPr>
          <w:rFonts w:ascii="华文中宋" w:eastAsia="华文中宋" w:hAnsi="华文中宋" w:cs="Times New Roman"/>
          <w:iCs/>
          <w:color w:val="FF0000"/>
          <w:w w:val="80"/>
          <w:sz w:val="84"/>
          <w:szCs w:val="84"/>
        </w:rPr>
      </w:pPr>
      <w:r w:rsidRPr="001A7F4F">
        <w:rPr>
          <w:rFonts w:ascii="华文中宋" w:eastAsia="华文中宋" w:hAnsi="华文中宋" w:cs="Times New Roman" w:hint="eastAsia"/>
          <w:iCs/>
          <w:color w:val="FF0000"/>
          <w:w w:val="80"/>
          <w:sz w:val="84"/>
          <w:szCs w:val="84"/>
        </w:rPr>
        <w:t>南通大学化学化工学院文件</w:t>
      </w:r>
    </w:p>
    <w:p w:rsidR="00F82268" w:rsidRDefault="00F82268" w:rsidP="00432F82">
      <w:pPr>
        <w:jc w:val="center"/>
        <w:rPr>
          <w:rFonts w:ascii="Times New Roman" w:eastAsia="宋体" w:hAnsi="Times New Roman" w:cs="Times New Roman"/>
          <w:iCs/>
          <w:sz w:val="24"/>
          <w:szCs w:val="24"/>
        </w:rPr>
      </w:pPr>
    </w:p>
    <w:p w:rsidR="001A7F4F" w:rsidRPr="001A7F4F" w:rsidRDefault="001A7F4F" w:rsidP="00432F82">
      <w:pPr>
        <w:jc w:val="center"/>
        <w:rPr>
          <w:rFonts w:ascii="Times New Roman" w:eastAsia="宋体" w:hAnsi="Times New Roman" w:cs="Times New Roman"/>
          <w:iCs/>
          <w:sz w:val="24"/>
          <w:szCs w:val="24"/>
        </w:rPr>
      </w:pPr>
      <w:r w:rsidRPr="001A7F4F">
        <w:rPr>
          <w:rFonts w:ascii="Times New Roman" w:eastAsia="宋体" w:hAnsi="Times New Roman" w:cs="Times New Roman" w:hint="eastAsia"/>
          <w:iCs/>
          <w:sz w:val="24"/>
          <w:szCs w:val="24"/>
        </w:rPr>
        <w:t>通大院化</w:t>
      </w:r>
      <w:r w:rsidRPr="001A7F4F">
        <w:rPr>
          <w:rFonts w:ascii="Times New Roman" w:eastAsia="宋体" w:hAnsi="Times New Roman" w:cs="Times New Roman" w:hint="eastAsia"/>
          <w:iCs/>
          <w:sz w:val="22"/>
          <w:szCs w:val="24"/>
        </w:rPr>
        <w:t>〔</w:t>
      </w:r>
      <w:r w:rsidRPr="001A7F4F">
        <w:rPr>
          <w:rFonts w:ascii="Times New Roman" w:eastAsia="宋体" w:hAnsi="Times New Roman" w:cs="Times New Roman" w:hint="eastAsia"/>
          <w:iCs/>
          <w:sz w:val="24"/>
          <w:szCs w:val="24"/>
        </w:rPr>
        <w:t>20</w:t>
      </w:r>
      <w:r w:rsidR="00F80C28">
        <w:rPr>
          <w:rFonts w:ascii="Times New Roman" w:eastAsia="宋体" w:hAnsi="Times New Roman" w:cs="Times New Roman"/>
          <w:iCs/>
          <w:sz w:val="24"/>
          <w:szCs w:val="24"/>
        </w:rPr>
        <w:t>20</w:t>
      </w:r>
      <w:r w:rsidRPr="001A7F4F">
        <w:rPr>
          <w:rFonts w:ascii="Times New Roman" w:eastAsia="宋体" w:hAnsi="Times New Roman" w:cs="Times New Roman" w:hint="eastAsia"/>
          <w:iCs/>
          <w:sz w:val="24"/>
          <w:szCs w:val="24"/>
        </w:rPr>
        <w:t>〕</w:t>
      </w:r>
      <w:r w:rsidR="00E56F31">
        <w:rPr>
          <w:rFonts w:ascii="Times New Roman" w:eastAsia="宋体" w:hAnsi="Times New Roman" w:cs="Times New Roman"/>
          <w:iCs/>
          <w:sz w:val="24"/>
          <w:szCs w:val="24"/>
        </w:rPr>
        <w:t>8</w:t>
      </w:r>
      <w:r w:rsidRPr="001A7F4F">
        <w:rPr>
          <w:rFonts w:ascii="Times New Roman" w:eastAsia="宋体" w:hAnsi="Times New Roman" w:cs="Times New Roman" w:hint="eastAsia"/>
          <w:iCs/>
          <w:sz w:val="24"/>
          <w:szCs w:val="24"/>
        </w:rPr>
        <w:t>号</w:t>
      </w:r>
    </w:p>
    <w:p w:rsidR="001A7F4F" w:rsidRPr="001A7F4F" w:rsidRDefault="001A7F4F" w:rsidP="00432F82">
      <w:pPr>
        <w:jc w:val="center"/>
        <w:rPr>
          <w:rFonts w:ascii="Times New Roman" w:eastAsia="宋体" w:hAnsi="Times New Roman" w:cs="Times New Roman"/>
          <w:iCs/>
          <w:sz w:val="24"/>
          <w:szCs w:val="24"/>
        </w:rPr>
      </w:pPr>
    </w:p>
    <w:tbl>
      <w:tblPr>
        <w:tblW w:w="0" w:type="auto"/>
        <w:tblInd w:w="180" w:type="dxa"/>
        <w:tblBorders>
          <w:top w:val="single" w:sz="18" w:space="0" w:color="FF0000"/>
        </w:tblBorders>
        <w:tblLook w:val="0000" w:firstRow="0" w:lastRow="0" w:firstColumn="0" w:lastColumn="0" w:noHBand="0" w:noVBand="0"/>
      </w:tblPr>
      <w:tblGrid>
        <w:gridCol w:w="8132"/>
      </w:tblGrid>
      <w:tr w:rsidR="001A7F4F" w:rsidRPr="001A7F4F" w:rsidTr="00B60A80">
        <w:trPr>
          <w:trHeight w:val="100"/>
        </w:trPr>
        <w:tc>
          <w:tcPr>
            <w:tcW w:w="8717" w:type="dxa"/>
          </w:tcPr>
          <w:p w:rsidR="001A7F4F" w:rsidRPr="001A7F4F" w:rsidRDefault="001A7F4F" w:rsidP="00432F82">
            <w:pPr>
              <w:jc w:val="center"/>
              <w:rPr>
                <w:rFonts w:ascii="Times New Roman" w:eastAsia="(使用中文字体)" w:hAnsi="Times New Roman" w:cs="Times New Roman"/>
                <w:b/>
                <w:bCs/>
                <w:color w:val="000000"/>
                <w:kern w:val="0"/>
                <w:sz w:val="18"/>
                <w:szCs w:val="18"/>
              </w:rPr>
            </w:pPr>
          </w:p>
        </w:tc>
      </w:tr>
    </w:tbl>
    <w:p w:rsidR="00E56F31" w:rsidRDefault="00E56F31" w:rsidP="009D0FDB">
      <w:pPr>
        <w:rPr>
          <w:rFonts w:ascii="仿宋_GB2312" w:eastAsia="仿宋_GB2312" w:hAnsi="Times New Roman" w:cs="Times New Roman"/>
          <w:sz w:val="32"/>
          <w:szCs w:val="32"/>
        </w:rPr>
      </w:pPr>
    </w:p>
    <w:p w:rsidR="00E56F31" w:rsidRPr="00E56F31" w:rsidRDefault="00E56F31" w:rsidP="00E56F31">
      <w:pPr>
        <w:jc w:val="center"/>
        <w:rPr>
          <w:rFonts w:ascii="黑体" w:eastAsia="黑体" w:hAnsi="Times New Roman" w:hint="eastAsia"/>
          <w:sz w:val="36"/>
          <w:szCs w:val="36"/>
        </w:rPr>
      </w:pPr>
      <w:r w:rsidRPr="00E56F31">
        <w:rPr>
          <w:rFonts w:ascii="黑体" w:eastAsia="黑体" w:hAnsi="Times New Roman" w:hint="eastAsia"/>
          <w:sz w:val="36"/>
          <w:szCs w:val="36"/>
        </w:rPr>
        <w:t>关于印发《南通大学化学化工学院创收奖励办法》的通知</w:t>
      </w:r>
    </w:p>
    <w:p w:rsidR="00E56F31" w:rsidRDefault="00E56F31" w:rsidP="00E56F31">
      <w:pPr>
        <w:rPr>
          <w:rFonts w:ascii="楷体" w:eastAsia="楷体" w:hAnsi="楷体" w:cs="楷体" w:hint="eastAsia"/>
        </w:rPr>
      </w:pPr>
      <w:r>
        <w:rPr>
          <w:rFonts w:ascii="楷体" w:eastAsia="楷体" w:hAnsi="楷体" w:cs="楷体" w:hint="eastAsia"/>
        </w:rPr>
        <w:t xml:space="preserve">   </w:t>
      </w:r>
    </w:p>
    <w:p w:rsidR="00E56F31" w:rsidRPr="009D0FDB" w:rsidRDefault="00E56F31" w:rsidP="00E56F31">
      <w:pPr>
        <w:rPr>
          <w:rFonts w:ascii="黑体" w:eastAsia="黑体" w:hAnsi="黑体"/>
          <w:sz w:val="36"/>
          <w:szCs w:val="36"/>
        </w:rPr>
      </w:pPr>
      <w:r w:rsidRPr="00344425">
        <w:rPr>
          <w:rFonts w:ascii="仿宋_GB2312" w:eastAsia="仿宋_GB2312" w:hAnsi="Times New Roman" w:cs="Times New Roman"/>
          <w:sz w:val="32"/>
          <w:szCs w:val="32"/>
        </w:rPr>
        <w:t>各</w:t>
      </w:r>
      <w:r w:rsidRPr="00344425">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（室）</w:t>
      </w:r>
      <w:r w:rsidRPr="00344425">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办</w:t>
      </w:r>
      <w:r>
        <w:rPr>
          <w:rFonts w:ascii="仿宋_GB2312" w:eastAsia="仿宋_GB2312" w:hAnsi="Times New Roman" w:cs="Times New Roman"/>
          <w:sz w:val="32"/>
          <w:szCs w:val="32"/>
        </w:rPr>
        <w:t>、</w:t>
      </w:r>
      <w:r w:rsidRPr="00344425">
        <w:rPr>
          <w:rFonts w:ascii="仿宋_GB2312" w:eastAsia="仿宋_GB2312" w:hAnsi="Times New Roman" w:cs="Times New Roman" w:hint="eastAsia"/>
          <w:sz w:val="32"/>
          <w:szCs w:val="32"/>
        </w:rPr>
        <w:t>实验中心、群团组织</w:t>
      </w:r>
      <w:r w:rsidRPr="00344425">
        <w:rPr>
          <w:rFonts w:ascii="仿宋_GB2312" w:eastAsia="仿宋_GB2312" w:hAnsi="Times New Roman" w:cs="Times New Roman"/>
          <w:sz w:val="32"/>
          <w:szCs w:val="32"/>
        </w:rPr>
        <w:t>：</w:t>
      </w:r>
    </w:p>
    <w:p w:rsidR="00E56F31" w:rsidRPr="00E56F31" w:rsidRDefault="00E56F31" w:rsidP="00E56F31">
      <w:pPr>
        <w:ind w:firstLineChars="200" w:firstLine="640"/>
        <w:rPr>
          <w:rFonts w:ascii="仿宋_GB2312" w:eastAsia="仿宋_GB2312" w:hAnsi="Times New Roman" w:cs="Times New Roman" w:hint="eastAsia"/>
          <w:sz w:val="32"/>
          <w:szCs w:val="32"/>
        </w:rPr>
      </w:pPr>
      <w:r w:rsidRPr="00E56F31">
        <w:rPr>
          <w:rFonts w:ascii="仿宋_GB2312" w:eastAsia="仿宋_GB2312" w:hAnsi="Times New Roman" w:cs="Times New Roman" w:hint="eastAsia"/>
          <w:sz w:val="32"/>
          <w:szCs w:val="32"/>
        </w:rPr>
        <w:t>为进一步推动化学化工学院培训、合作等事业的健康可持续发展，更好地发挥服务地方的功能，结合学院实际情况，制订本办法，现予印发，请遵照执行。</w:t>
      </w:r>
    </w:p>
    <w:p w:rsidR="00E56F31" w:rsidRPr="00E56F31" w:rsidRDefault="00E56F31" w:rsidP="00E56F31">
      <w:pPr>
        <w:rPr>
          <w:rFonts w:ascii="仿宋_GB2312" w:eastAsia="仿宋_GB2312" w:hAnsi="Times New Roman" w:cs="Times New Roman" w:hint="eastAsia"/>
          <w:sz w:val="32"/>
          <w:szCs w:val="32"/>
        </w:rPr>
      </w:pPr>
    </w:p>
    <w:p w:rsidR="00E56F31" w:rsidRPr="00E56F31" w:rsidRDefault="00E56F31" w:rsidP="00E56F31">
      <w:pPr>
        <w:rPr>
          <w:rFonts w:ascii="仿宋_GB2312" w:eastAsia="仿宋_GB2312" w:hAnsi="Times New Roman" w:cs="Times New Roman" w:hint="eastAsia"/>
          <w:sz w:val="32"/>
          <w:szCs w:val="32"/>
        </w:rPr>
      </w:pPr>
      <w:r w:rsidRPr="00E56F31">
        <w:rPr>
          <w:rFonts w:ascii="仿宋_GB2312" w:eastAsia="仿宋_GB2312" w:hAnsi="Times New Roman" w:cs="Times New Roman" w:hint="eastAsia"/>
          <w:sz w:val="32"/>
          <w:szCs w:val="32"/>
        </w:rPr>
        <w:t xml:space="preserve">     </w:t>
      </w:r>
    </w:p>
    <w:p w:rsidR="00E56F31" w:rsidRPr="00E56F31" w:rsidRDefault="00E56F31" w:rsidP="00E56F31">
      <w:pPr>
        <w:rPr>
          <w:rFonts w:ascii="仿宋_GB2312" w:eastAsia="仿宋_GB2312" w:hAnsi="Times New Roman" w:cs="Times New Roman" w:hint="eastAsia"/>
          <w:sz w:val="32"/>
          <w:szCs w:val="32"/>
        </w:rPr>
      </w:pPr>
      <w:r w:rsidRPr="00E56F31">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r w:rsidRPr="00E56F31">
        <w:rPr>
          <w:rFonts w:ascii="仿宋_GB2312" w:eastAsia="仿宋_GB2312" w:hAnsi="Times New Roman" w:cs="Times New Roman" w:hint="eastAsia"/>
          <w:sz w:val="32"/>
          <w:szCs w:val="32"/>
        </w:rPr>
        <w:t>南通大学化学化工学院</w:t>
      </w:r>
    </w:p>
    <w:p w:rsidR="00E56F31" w:rsidRPr="00E56F31" w:rsidRDefault="00E56F31" w:rsidP="006E735D">
      <w:pPr>
        <w:jc w:val="right"/>
        <w:rPr>
          <w:rFonts w:ascii="仿宋_GB2312" w:eastAsia="仿宋_GB2312" w:hAnsi="Times New Roman" w:cs="Times New Roman" w:hint="eastAsia"/>
          <w:sz w:val="32"/>
          <w:szCs w:val="32"/>
        </w:rPr>
      </w:pPr>
      <w:r w:rsidRPr="00E56F31">
        <w:rPr>
          <w:rFonts w:ascii="仿宋_GB2312" w:eastAsia="仿宋_GB2312" w:hAnsi="Times New Roman" w:cs="Times New Roman" w:hint="eastAsia"/>
          <w:sz w:val="32"/>
          <w:szCs w:val="32"/>
        </w:rPr>
        <w:t xml:space="preserve">                               </w:t>
      </w:r>
      <w:bookmarkStart w:id="0" w:name="_GoBack"/>
      <w:bookmarkEnd w:id="0"/>
      <w:r w:rsidR="006E735D">
        <w:rPr>
          <w:rFonts w:ascii="仿宋_GB2312" w:eastAsia="仿宋_GB2312" w:hAnsi="Times New Roman" w:cs="Times New Roman" w:hint="eastAsia"/>
          <w:sz w:val="32"/>
          <w:szCs w:val="32"/>
        </w:rPr>
        <w:t>2</w:t>
      </w:r>
      <w:r w:rsidR="006E735D">
        <w:rPr>
          <w:rFonts w:ascii="仿宋_GB2312" w:eastAsia="仿宋_GB2312" w:hAnsi="Times New Roman" w:cs="Times New Roman"/>
          <w:sz w:val="32"/>
          <w:szCs w:val="32"/>
        </w:rPr>
        <w:t>020</w:t>
      </w:r>
      <w:r w:rsidR="006E735D">
        <w:rPr>
          <w:rFonts w:ascii="仿宋_GB2312" w:eastAsia="仿宋_GB2312" w:hAnsi="Times New Roman" w:cs="Times New Roman" w:hint="eastAsia"/>
          <w:sz w:val="32"/>
          <w:szCs w:val="32"/>
        </w:rPr>
        <w:t>年1</w:t>
      </w:r>
      <w:r w:rsidR="006E735D">
        <w:rPr>
          <w:rFonts w:ascii="仿宋_GB2312" w:eastAsia="仿宋_GB2312" w:hAnsi="Times New Roman" w:cs="Times New Roman"/>
          <w:sz w:val="32"/>
          <w:szCs w:val="32"/>
        </w:rPr>
        <w:t>1</w:t>
      </w:r>
      <w:r w:rsidR="006E735D">
        <w:rPr>
          <w:rFonts w:ascii="仿宋_GB2312" w:eastAsia="仿宋_GB2312" w:hAnsi="Times New Roman" w:cs="Times New Roman" w:hint="eastAsia"/>
          <w:sz w:val="32"/>
          <w:szCs w:val="32"/>
        </w:rPr>
        <w:t>月2</w:t>
      </w:r>
      <w:r w:rsidR="006E735D">
        <w:rPr>
          <w:rFonts w:ascii="仿宋_GB2312" w:eastAsia="仿宋_GB2312" w:hAnsi="Times New Roman" w:cs="Times New Roman"/>
          <w:sz w:val="32"/>
          <w:szCs w:val="32"/>
        </w:rPr>
        <w:t>9</w:t>
      </w:r>
      <w:r w:rsidR="006E735D">
        <w:rPr>
          <w:rFonts w:ascii="仿宋_GB2312" w:eastAsia="仿宋_GB2312" w:hAnsi="Times New Roman" w:cs="Times New Roman" w:hint="eastAsia"/>
          <w:sz w:val="32"/>
          <w:szCs w:val="32"/>
        </w:rPr>
        <w:t>日</w:t>
      </w:r>
    </w:p>
    <w:p w:rsidR="00E56F31" w:rsidRDefault="00E56F31" w:rsidP="00E56F31">
      <w:pPr>
        <w:ind w:firstLineChars="200" w:firstLine="640"/>
        <w:jc w:val="left"/>
        <w:rPr>
          <w:rFonts w:ascii="仿宋_GB2312" w:eastAsia="仿宋_GB2312"/>
          <w:sz w:val="32"/>
          <w:szCs w:val="32"/>
        </w:rPr>
      </w:pPr>
    </w:p>
    <w:p w:rsidR="00E56F31" w:rsidRPr="00413219" w:rsidRDefault="00E56F31" w:rsidP="00E56F31">
      <w:pPr>
        <w:ind w:firstLineChars="200" w:firstLine="640"/>
        <w:jc w:val="left"/>
        <w:rPr>
          <w:rFonts w:ascii="仿宋_GB2312" w:eastAsia="仿宋_GB2312" w:hint="eastAsia"/>
          <w:sz w:val="32"/>
          <w:szCs w:val="32"/>
        </w:rPr>
      </w:pPr>
    </w:p>
    <w:p w:rsidR="00E56F31" w:rsidRDefault="00E56F31" w:rsidP="00E56F31">
      <w:pPr>
        <w:ind w:rightChars="13" w:right="27" w:firstLineChars="200" w:firstLine="640"/>
        <w:jc w:val="right"/>
        <w:rPr>
          <w:rFonts w:ascii="仿宋_GB2312" w:eastAsia="仿宋_GB2312" w:hAnsi="Times New Roman"/>
          <w:sz w:val="32"/>
          <w:szCs w:val="32"/>
        </w:rPr>
      </w:pPr>
      <w:r w:rsidRPr="00F82268">
        <w:rPr>
          <w:rFonts w:ascii="仿宋_GB2312" w:eastAsia="仿宋_GB2312" w:hAnsi="Times New Roman" w:hint="eastAsia"/>
          <w:sz w:val="32"/>
          <w:szCs w:val="32"/>
        </w:rPr>
        <w:t>二〇</w:t>
      </w:r>
      <w:r>
        <w:rPr>
          <w:rFonts w:ascii="仿宋_GB2312" w:eastAsia="仿宋_GB2312" w:hAnsi="Times New Roman" w:hint="eastAsia"/>
          <w:sz w:val="32"/>
          <w:szCs w:val="32"/>
        </w:rPr>
        <w:t>二〇</w:t>
      </w:r>
      <w:r w:rsidRPr="00F82268">
        <w:rPr>
          <w:rFonts w:ascii="仿宋_GB2312" w:eastAsia="仿宋_GB2312" w:hAnsi="Times New Roman" w:hint="eastAsia"/>
          <w:sz w:val="32"/>
          <w:szCs w:val="32"/>
        </w:rPr>
        <w:t>年</w:t>
      </w:r>
      <w:r>
        <w:rPr>
          <w:rFonts w:ascii="仿宋_GB2312" w:eastAsia="仿宋_GB2312" w:hAnsi="Times New Roman" w:hint="eastAsia"/>
          <w:sz w:val="32"/>
          <w:szCs w:val="32"/>
        </w:rPr>
        <w:t>十一</w:t>
      </w:r>
      <w:r w:rsidRPr="00F82268">
        <w:rPr>
          <w:rFonts w:ascii="仿宋_GB2312" w:eastAsia="仿宋_GB2312" w:hAnsi="Times New Roman" w:hint="eastAsia"/>
          <w:sz w:val="32"/>
          <w:szCs w:val="32"/>
        </w:rPr>
        <w:t>月</w:t>
      </w:r>
      <w:r>
        <w:rPr>
          <w:rFonts w:ascii="仿宋_GB2312" w:eastAsia="仿宋_GB2312" w:hAnsi="Times New Roman" w:hint="eastAsia"/>
          <w:sz w:val="32"/>
          <w:szCs w:val="32"/>
        </w:rPr>
        <w:t>二十九</w:t>
      </w:r>
      <w:r w:rsidRPr="00F82268">
        <w:rPr>
          <w:rFonts w:ascii="仿宋_GB2312" w:eastAsia="仿宋_GB2312" w:hAnsi="Times New Roman" w:hint="eastAsia"/>
          <w:sz w:val="32"/>
          <w:szCs w:val="32"/>
        </w:rPr>
        <w:t>日</w:t>
      </w:r>
    </w:p>
    <w:tbl>
      <w:tblPr>
        <w:tblW w:w="0" w:type="auto"/>
        <w:tblLook w:val="0000" w:firstRow="0" w:lastRow="0" w:firstColumn="0" w:lastColumn="0" w:noHBand="0" w:noVBand="0"/>
      </w:tblPr>
      <w:tblGrid>
        <w:gridCol w:w="4897"/>
        <w:gridCol w:w="3415"/>
      </w:tblGrid>
      <w:tr w:rsidR="00E56F31" w:rsidRPr="000F73E0" w:rsidTr="00407FF3">
        <w:trPr>
          <w:trHeight w:val="630"/>
        </w:trPr>
        <w:tc>
          <w:tcPr>
            <w:tcW w:w="4964" w:type="dxa"/>
            <w:tcBorders>
              <w:top w:val="single" w:sz="12" w:space="0" w:color="auto"/>
              <w:bottom w:val="single" w:sz="12" w:space="0" w:color="auto"/>
            </w:tcBorders>
          </w:tcPr>
          <w:p w:rsidR="00E56F31" w:rsidRPr="001A7F4F" w:rsidRDefault="00E56F31" w:rsidP="00407FF3">
            <w:pPr>
              <w:rPr>
                <w:rFonts w:ascii="黑体" w:eastAsia="黑体" w:hAnsi="Times New Roman"/>
                <w:b/>
                <w:sz w:val="32"/>
                <w:szCs w:val="32"/>
              </w:rPr>
            </w:pPr>
            <w:r w:rsidRPr="000F73E0">
              <w:rPr>
                <w:rFonts w:ascii="黑体" w:eastAsia="黑体" w:hAnsi="黑体"/>
                <w:sz w:val="28"/>
                <w:szCs w:val="28"/>
              </w:rPr>
              <w:br w:type="page"/>
            </w:r>
            <w:r w:rsidRPr="001A7F4F">
              <w:rPr>
                <w:rFonts w:ascii="仿宋_GB2312" w:eastAsia="仿宋_GB2312" w:hAnsi="Times New Roman" w:hint="eastAsia"/>
                <w:sz w:val="32"/>
                <w:szCs w:val="32"/>
              </w:rPr>
              <w:t>化学化工学院</w:t>
            </w:r>
          </w:p>
        </w:tc>
        <w:tc>
          <w:tcPr>
            <w:tcW w:w="3450" w:type="dxa"/>
            <w:tcBorders>
              <w:top w:val="single" w:sz="12" w:space="0" w:color="auto"/>
              <w:bottom w:val="single" w:sz="12" w:space="0" w:color="auto"/>
            </w:tcBorders>
          </w:tcPr>
          <w:p w:rsidR="00E56F31" w:rsidRPr="00E56F31" w:rsidRDefault="00E56F31" w:rsidP="00407FF3">
            <w:pPr>
              <w:ind w:right="320"/>
              <w:jc w:val="left"/>
              <w:rPr>
                <w:rFonts w:ascii="黑体" w:eastAsia="黑体" w:hAnsi="Times New Roman"/>
                <w:b/>
                <w:sz w:val="28"/>
                <w:szCs w:val="28"/>
              </w:rPr>
            </w:pPr>
            <w:r w:rsidRPr="00E56F31">
              <w:rPr>
                <w:rFonts w:ascii="仿宋_GB2312" w:eastAsia="仿宋_GB2312" w:hAnsi="Times New Roman"/>
                <w:sz w:val="28"/>
                <w:szCs w:val="28"/>
              </w:rPr>
              <w:t>2020</w:t>
            </w:r>
            <w:r w:rsidRPr="00E56F31">
              <w:rPr>
                <w:rFonts w:ascii="仿宋_GB2312" w:eastAsia="仿宋_GB2312" w:hAnsi="Times New Roman" w:hint="eastAsia"/>
                <w:sz w:val="28"/>
                <w:szCs w:val="28"/>
              </w:rPr>
              <w:t>年</w:t>
            </w:r>
            <w:r w:rsidRPr="00E56F31">
              <w:rPr>
                <w:rFonts w:ascii="仿宋_GB2312" w:eastAsia="仿宋_GB2312" w:hAnsi="Times New Roman"/>
                <w:sz w:val="28"/>
                <w:szCs w:val="28"/>
              </w:rPr>
              <w:t>11</w:t>
            </w:r>
            <w:r w:rsidRPr="00E56F31">
              <w:rPr>
                <w:rFonts w:ascii="仿宋_GB2312" w:eastAsia="仿宋_GB2312" w:hAnsi="Times New Roman" w:hint="eastAsia"/>
                <w:sz w:val="28"/>
                <w:szCs w:val="28"/>
              </w:rPr>
              <w:t>月</w:t>
            </w:r>
            <w:r w:rsidRPr="00E56F31">
              <w:rPr>
                <w:rFonts w:ascii="仿宋_GB2312" w:eastAsia="仿宋_GB2312" w:hAnsi="Times New Roman"/>
                <w:sz w:val="28"/>
                <w:szCs w:val="28"/>
              </w:rPr>
              <w:t>29</w:t>
            </w:r>
            <w:r w:rsidRPr="00E56F31">
              <w:rPr>
                <w:rFonts w:ascii="仿宋_GB2312" w:eastAsia="仿宋_GB2312" w:hAnsi="Times New Roman" w:hint="eastAsia"/>
                <w:sz w:val="28"/>
                <w:szCs w:val="28"/>
              </w:rPr>
              <w:t>日印发</w:t>
            </w:r>
          </w:p>
        </w:tc>
      </w:tr>
    </w:tbl>
    <w:p w:rsidR="00E56F31" w:rsidRPr="00F82268" w:rsidRDefault="00E56F31" w:rsidP="00E56F31">
      <w:pPr>
        <w:ind w:rightChars="13" w:right="27" w:firstLineChars="200" w:firstLine="420"/>
        <w:jc w:val="right"/>
        <w:rPr>
          <w:rFonts w:ascii="宋体"/>
          <w:sz w:val="32"/>
          <w:szCs w:val="32"/>
        </w:rPr>
      </w:pPr>
      <w:r w:rsidRPr="001A7F4F">
        <w:rPr>
          <w:rFonts w:ascii="仿宋_GB2312" w:eastAsia="仿宋_GB2312" w:hAnsi="Times New Roman" w:hint="eastAsia"/>
          <w:szCs w:val="21"/>
        </w:rPr>
        <w:t>（共印</w:t>
      </w:r>
      <w:r w:rsidRPr="001A7F4F">
        <w:rPr>
          <w:rFonts w:ascii="仿宋_GB2312" w:eastAsia="仿宋_GB2312" w:hAnsi="Times New Roman"/>
          <w:szCs w:val="21"/>
        </w:rPr>
        <w:t>5</w:t>
      </w:r>
      <w:r w:rsidRPr="001A7F4F">
        <w:rPr>
          <w:rFonts w:ascii="仿宋_GB2312" w:eastAsia="仿宋_GB2312" w:hAnsi="Times New Roman" w:hint="eastAsia"/>
          <w:szCs w:val="21"/>
        </w:rPr>
        <w:t>份）</w:t>
      </w:r>
    </w:p>
    <w:p w:rsidR="00E56F31" w:rsidRPr="00E56F31" w:rsidRDefault="00E56F31" w:rsidP="00E56F31">
      <w:pPr>
        <w:jc w:val="center"/>
        <w:rPr>
          <w:rFonts w:ascii="黑体" w:eastAsia="黑体" w:hAnsi="黑体" w:cs="楷体" w:hint="eastAsia"/>
          <w:b/>
          <w:sz w:val="36"/>
          <w:szCs w:val="36"/>
        </w:rPr>
      </w:pPr>
      <w:r w:rsidRPr="00E56F31">
        <w:rPr>
          <w:rFonts w:ascii="黑体" w:eastAsia="黑体" w:hAnsi="黑体" w:cs="楷体" w:hint="eastAsia"/>
          <w:b/>
          <w:sz w:val="36"/>
          <w:szCs w:val="36"/>
        </w:rPr>
        <w:lastRenderedPageBreak/>
        <w:t>南通大学化学化工学院创收奖励办法</w:t>
      </w:r>
    </w:p>
    <w:p w:rsidR="00E56F31" w:rsidRDefault="00E56F31" w:rsidP="00E56F31">
      <w:pPr>
        <w:pStyle w:val="ab"/>
        <w:spacing w:before="0" w:beforeAutospacing="0" w:after="0" w:afterAutospacing="0" w:line="360" w:lineRule="auto"/>
        <w:ind w:firstLineChars="200" w:firstLine="640"/>
        <w:rPr>
          <w:rFonts w:ascii="楷体" w:eastAsia="楷体" w:hAnsi="楷体" w:cs="楷体" w:hint="eastAsia"/>
          <w:spacing w:val="0"/>
          <w:kern w:val="2"/>
          <w:sz w:val="32"/>
          <w:szCs w:val="32"/>
        </w:rPr>
      </w:pPr>
    </w:p>
    <w:p w:rsidR="00E56F31" w:rsidRPr="00E56F31" w:rsidRDefault="00E56F31" w:rsidP="00E56F31">
      <w:pPr>
        <w:pStyle w:val="ab"/>
        <w:spacing w:before="0" w:beforeAutospacing="0" w:after="0" w:afterAutospacing="0" w:line="360" w:lineRule="auto"/>
        <w:ind w:firstLineChars="200" w:firstLine="562"/>
        <w:rPr>
          <w:rFonts w:asciiTheme="minorEastAsia" w:eastAsiaTheme="minorEastAsia" w:hAnsiTheme="minorEastAsia" w:cs="楷体" w:hint="eastAsia"/>
          <w:b/>
          <w:bCs/>
          <w:spacing w:val="0"/>
          <w:kern w:val="2"/>
          <w:sz w:val="28"/>
        </w:rPr>
      </w:pPr>
      <w:r w:rsidRPr="00E56F31">
        <w:rPr>
          <w:rFonts w:asciiTheme="minorEastAsia" w:eastAsiaTheme="minorEastAsia" w:hAnsiTheme="minorEastAsia" w:cs="楷体" w:hint="eastAsia"/>
          <w:b/>
          <w:bCs/>
          <w:spacing w:val="0"/>
          <w:kern w:val="2"/>
          <w:sz w:val="28"/>
        </w:rPr>
        <w:t>一、适用范围</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本办法适用于化学化工学院举办的非学历教育培训和相关合作类培训收入分配，其他相关创收奖励分配参照本办法执行。</w:t>
      </w:r>
    </w:p>
    <w:p w:rsidR="00E56F31" w:rsidRPr="00E56F31" w:rsidRDefault="00E56F31" w:rsidP="00E56F31">
      <w:pPr>
        <w:pStyle w:val="ab"/>
        <w:spacing w:before="0" w:beforeAutospacing="0" w:after="0" w:afterAutospacing="0" w:line="360" w:lineRule="auto"/>
        <w:ind w:firstLineChars="200" w:firstLine="562"/>
        <w:rPr>
          <w:rFonts w:asciiTheme="minorEastAsia" w:eastAsiaTheme="minorEastAsia" w:hAnsiTheme="minorEastAsia" w:cs="楷体" w:hint="eastAsia"/>
          <w:b/>
          <w:bCs/>
          <w:spacing w:val="0"/>
          <w:kern w:val="2"/>
          <w:sz w:val="28"/>
        </w:rPr>
      </w:pPr>
      <w:r w:rsidRPr="00E56F31">
        <w:rPr>
          <w:rFonts w:asciiTheme="minorEastAsia" w:eastAsiaTheme="minorEastAsia" w:hAnsiTheme="minorEastAsia" w:cs="楷体" w:hint="eastAsia"/>
          <w:b/>
          <w:bCs/>
          <w:spacing w:val="0"/>
          <w:kern w:val="2"/>
          <w:sz w:val="28"/>
        </w:rPr>
        <w:t>二、分配办法</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1. 本办法涉及的经费系指剔除联办单位的合作费用后学校实际到账总额。</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2. 根据《南通大学继续教育经费分配办法》，化学化工学院承办的B1类和B2类培训班之创收，分别扣除学校（含继续教育学院）规定的管理费及材料费、教师讲课酬金等办学成本后，结余部分作为分配基数。</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3. 化学化工学院的创收奖励比例按毛收入的10%试行。</w:t>
      </w:r>
    </w:p>
    <w:p w:rsidR="00E56F31" w:rsidRPr="00E56F31" w:rsidRDefault="00E56F31" w:rsidP="00E56F31">
      <w:pPr>
        <w:pStyle w:val="ab"/>
        <w:spacing w:before="0" w:beforeAutospacing="0" w:after="0" w:afterAutospacing="0" w:line="360" w:lineRule="auto"/>
        <w:ind w:firstLineChars="200" w:firstLine="562"/>
        <w:rPr>
          <w:rFonts w:asciiTheme="minorEastAsia" w:eastAsiaTheme="minorEastAsia" w:hAnsiTheme="minorEastAsia" w:cs="楷体" w:hint="eastAsia"/>
          <w:b/>
          <w:bCs/>
          <w:spacing w:val="0"/>
          <w:kern w:val="2"/>
          <w:sz w:val="28"/>
        </w:rPr>
      </w:pPr>
      <w:r w:rsidRPr="00E56F31">
        <w:rPr>
          <w:rFonts w:asciiTheme="minorEastAsia" w:eastAsiaTheme="minorEastAsia" w:hAnsiTheme="minorEastAsia" w:cs="楷体" w:hint="eastAsia"/>
          <w:b/>
          <w:bCs/>
          <w:spacing w:val="0"/>
          <w:kern w:val="2"/>
          <w:sz w:val="28"/>
        </w:rPr>
        <w:t>三、具体说明</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1. 班级类别的划分</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（1）B1类班：利用校内设施举办的学历培训班。</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（2）B2类班：未利用校内设施举办的培训班。</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2. 学院办学成本及创收利润的使用。学院办学成本主要包含对外联络、对接学校会议、招生宣传、讲课酬金、材料费、常规管理和经常性支出等。学院创收利润主要用于承担部分校内奖励性绩效</w:t>
      </w:r>
      <w:r w:rsidRPr="00E56F31">
        <w:rPr>
          <w:rFonts w:asciiTheme="minorEastAsia" w:eastAsiaTheme="minorEastAsia" w:hAnsiTheme="minorEastAsia" w:cs="楷体" w:hint="eastAsia"/>
          <w:spacing w:val="0"/>
          <w:kern w:val="2"/>
          <w:sz w:val="28"/>
        </w:rPr>
        <w:lastRenderedPageBreak/>
        <w:t>工资及部分事业发展。学院创收奖励主要用于相关培训介绍人、业务培训、管理等相关人员等支出。非学历教育在项目完成后由学院做好成本支出经费决算表，并报继续教育学院备案后报支，原则上一次性报支成本费用。</w:t>
      </w:r>
    </w:p>
    <w:p w:rsidR="00E56F31" w:rsidRPr="00E56F31" w:rsidRDefault="00E56F31" w:rsidP="00E56F31">
      <w:pPr>
        <w:pStyle w:val="ab"/>
        <w:spacing w:before="0" w:beforeAutospacing="0" w:after="0" w:afterAutospacing="0" w:line="360" w:lineRule="auto"/>
        <w:ind w:firstLineChars="200" w:firstLine="560"/>
        <w:rPr>
          <w:rFonts w:asciiTheme="minorEastAsia" w:eastAsiaTheme="minorEastAsia" w:hAnsiTheme="minorEastAsia" w:cs="楷体" w:hint="eastAsia"/>
          <w:spacing w:val="0"/>
          <w:kern w:val="2"/>
          <w:sz w:val="28"/>
        </w:rPr>
      </w:pPr>
      <w:r w:rsidRPr="00E56F31">
        <w:rPr>
          <w:rFonts w:asciiTheme="minorEastAsia" w:eastAsiaTheme="minorEastAsia" w:hAnsiTheme="minorEastAsia" w:cs="楷体" w:hint="eastAsia"/>
          <w:spacing w:val="0"/>
          <w:kern w:val="2"/>
          <w:sz w:val="28"/>
        </w:rPr>
        <w:t>3. 特殊类型办班的创收奖励比例由学院领导集体讨论决定。</w:t>
      </w:r>
    </w:p>
    <w:p w:rsidR="00E56F31" w:rsidRPr="00E56F31" w:rsidRDefault="00E56F31" w:rsidP="00E56F31">
      <w:pPr>
        <w:pStyle w:val="ab"/>
        <w:spacing w:before="0" w:beforeAutospacing="0" w:after="0" w:afterAutospacing="0" w:line="360" w:lineRule="auto"/>
        <w:ind w:firstLineChars="200" w:firstLine="562"/>
        <w:rPr>
          <w:rFonts w:asciiTheme="minorEastAsia" w:eastAsiaTheme="minorEastAsia" w:hAnsiTheme="minorEastAsia" w:cs="楷体" w:hint="eastAsia"/>
          <w:b/>
          <w:bCs/>
          <w:spacing w:val="0"/>
          <w:kern w:val="2"/>
          <w:sz w:val="28"/>
        </w:rPr>
      </w:pPr>
      <w:r w:rsidRPr="00E56F31">
        <w:rPr>
          <w:rFonts w:asciiTheme="minorEastAsia" w:eastAsiaTheme="minorEastAsia" w:hAnsiTheme="minorEastAsia" w:cs="楷体" w:hint="eastAsia"/>
          <w:b/>
          <w:bCs/>
          <w:spacing w:val="0"/>
          <w:kern w:val="2"/>
          <w:sz w:val="28"/>
        </w:rPr>
        <w:t>四、本办法自颁布之日起实施，由化学化工学院负责解释。</w:t>
      </w:r>
    </w:p>
    <w:sectPr w:rsidR="00E56F31" w:rsidRPr="00E56F31" w:rsidSect="00344425">
      <w:pgSz w:w="11906" w:h="16838"/>
      <w:pgMar w:top="1814" w:right="1797" w:bottom="2268"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EB" w:rsidRDefault="000B18EB" w:rsidP="00D01157">
      <w:r>
        <w:separator/>
      </w:r>
    </w:p>
  </w:endnote>
  <w:endnote w:type="continuationSeparator" w:id="0">
    <w:p w:rsidR="000B18EB" w:rsidRDefault="000B18EB" w:rsidP="00D0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EB" w:rsidRDefault="000B18EB" w:rsidP="00D01157">
      <w:r>
        <w:separator/>
      </w:r>
    </w:p>
  </w:footnote>
  <w:footnote w:type="continuationSeparator" w:id="0">
    <w:p w:rsidR="000B18EB" w:rsidRDefault="000B18EB" w:rsidP="00D01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68"/>
    <w:rsid w:val="000B18EB"/>
    <w:rsid w:val="00102D77"/>
    <w:rsid w:val="00187BB5"/>
    <w:rsid w:val="0019660B"/>
    <w:rsid w:val="001A7F4F"/>
    <w:rsid w:val="00284EAC"/>
    <w:rsid w:val="002C3AF3"/>
    <w:rsid w:val="00334ABD"/>
    <w:rsid w:val="00335F93"/>
    <w:rsid w:val="00344425"/>
    <w:rsid w:val="00432F82"/>
    <w:rsid w:val="004C2465"/>
    <w:rsid w:val="00517F49"/>
    <w:rsid w:val="00534F8C"/>
    <w:rsid w:val="005705BA"/>
    <w:rsid w:val="006722E9"/>
    <w:rsid w:val="006E735D"/>
    <w:rsid w:val="00720594"/>
    <w:rsid w:val="007559D1"/>
    <w:rsid w:val="00820868"/>
    <w:rsid w:val="008F25D7"/>
    <w:rsid w:val="0095166F"/>
    <w:rsid w:val="009A3C71"/>
    <w:rsid w:val="009B55B7"/>
    <w:rsid w:val="009D0FDB"/>
    <w:rsid w:val="00A62ACA"/>
    <w:rsid w:val="00B320D8"/>
    <w:rsid w:val="00B812C9"/>
    <w:rsid w:val="00C55982"/>
    <w:rsid w:val="00CA1940"/>
    <w:rsid w:val="00D01157"/>
    <w:rsid w:val="00DC3D0F"/>
    <w:rsid w:val="00E56F31"/>
    <w:rsid w:val="00E9359C"/>
    <w:rsid w:val="00EA73B3"/>
    <w:rsid w:val="00EE62DC"/>
    <w:rsid w:val="00F04709"/>
    <w:rsid w:val="00F42406"/>
    <w:rsid w:val="00F80C28"/>
    <w:rsid w:val="00F8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8469E"/>
  <w15:docId w15:val="{A537B375-2C06-48B7-BFC6-8984B608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5B7"/>
    <w:pPr>
      <w:ind w:leftChars="2500" w:left="100"/>
    </w:pPr>
  </w:style>
  <w:style w:type="character" w:customStyle="1" w:styleId="a4">
    <w:name w:val="日期 字符"/>
    <w:basedOn w:val="a0"/>
    <w:link w:val="a3"/>
    <w:uiPriority w:val="99"/>
    <w:semiHidden/>
    <w:rsid w:val="009B55B7"/>
  </w:style>
  <w:style w:type="paragraph" w:styleId="a5">
    <w:name w:val="Balloon Text"/>
    <w:basedOn w:val="a"/>
    <w:link w:val="a6"/>
    <w:uiPriority w:val="99"/>
    <w:semiHidden/>
    <w:unhideWhenUsed/>
    <w:rsid w:val="00F04709"/>
    <w:rPr>
      <w:sz w:val="18"/>
      <w:szCs w:val="18"/>
    </w:rPr>
  </w:style>
  <w:style w:type="character" w:customStyle="1" w:styleId="a6">
    <w:name w:val="批注框文本 字符"/>
    <w:basedOn w:val="a0"/>
    <w:link w:val="a5"/>
    <w:uiPriority w:val="99"/>
    <w:semiHidden/>
    <w:rsid w:val="00F04709"/>
    <w:rPr>
      <w:sz w:val="18"/>
      <w:szCs w:val="18"/>
    </w:rPr>
  </w:style>
  <w:style w:type="paragraph" w:styleId="a7">
    <w:name w:val="header"/>
    <w:basedOn w:val="a"/>
    <w:link w:val="a8"/>
    <w:uiPriority w:val="99"/>
    <w:unhideWhenUsed/>
    <w:rsid w:val="00D0115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01157"/>
    <w:rPr>
      <w:sz w:val="18"/>
      <w:szCs w:val="18"/>
    </w:rPr>
  </w:style>
  <w:style w:type="paragraph" w:styleId="a9">
    <w:name w:val="footer"/>
    <w:basedOn w:val="a"/>
    <w:link w:val="aa"/>
    <w:uiPriority w:val="99"/>
    <w:unhideWhenUsed/>
    <w:rsid w:val="00D01157"/>
    <w:pPr>
      <w:tabs>
        <w:tab w:val="center" w:pos="4153"/>
        <w:tab w:val="right" w:pos="8306"/>
      </w:tabs>
      <w:snapToGrid w:val="0"/>
      <w:jc w:val="left"/>
    </w:pPr>
    <w:rPr>
      <w:sz w:val="18"/>
      <w:szCs w:val="18"/>
    </w:rPr>
  </w:style>
  <w:style w:type="character" w:customStyle="1" w:styleId="aa">
    <w:name w:val="页脚 字符"/>
    <w:basedOn w:val="a0"/>
    <w:link w:val="a9"/>
    <w:uiPriority w:val="99"/>
    <w:rsid w:val="00D01157"/>
    <w:rPr>
      <w:sz w:val="18"/>
      <w:szCs w:val="18"/>
    </w:rPr>
  </w:style>
  <w:style w:type="paragraph" w:styleId="ab">
    <w:name w:val="Normal (Web)"/>
    <w:basedOn w:val="a"/>
    <w:qFormat/>
    <w:rsid w:val="00E56F31"/>
    <w:pPr>
      <w:widowControl/>
      <w:spacing w:before="100" w:beforeAutospacing="1" w:after="100" w:afterAutospacing="1"/>
      <w:jc w:val="left"/>
    </w:pPr>
    <w:rPr>
      <w:rFonts w:ascii="宋体" w:eastAsia="仿宋_GB2312" w:hAnsi="宋体" w:cs="宋体"/>
      <w:spacing w:val="75"/>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4605">
      <w:bodyDiv w:val="1"/>
      <w:marLeft w:val="0"/>
      <w:marRight w:val="0"/>
      <w:marTop w:val="0"/>
      <w:marBottom w:val="0"/>
      <w:divBdr>
        <w:top w:val="none" w:sz="0" w:space="0" w:color="auto"/>
        <w:left w:val="none" w:sz="0" w:space="0" w:color="auto"/>
        <w:bottom w:val="none" w:sz="0" w:space="0" w:color="auto"/>
        <w:right w:val="none" w:sz="0" w:space="0" w:color="auto"/>
      </w:divBdr>
    </w:div>
    <w:div w:id="428351635">
      <w:bodyDiv w:val="1"/>
      <w:marLeft w:val="0"/>
      <w:marRight w:val="0"/>
      <w:marTop w:val="0"/>
      <w:marBottom w:val="0"/>
      <w:divBdr>
        <w:top w:val="none" w:sz="0" w:space="0" w:color="auto"/>
        <w:left w:val="none" w:sz="0" w:space="0" w:color="auto"/>
        <w:bottom w:val="none" w:sz="0" w:space="0" w:color="auto"/>
        <w:right w:val="none" w:sz="0" w:space="0" w:color="auto"/>
      </w:divBdr>
    </w:div>
    <w:div w:id="547226246">
      <w:bodyDiv w:val="1"/>
      <w:marLeft w:val="0"/>
      <w:marRight w:val="0"/>
      <w:marTop w:val="0"/>
      <w:marBottom w:val="0"/>
      <w:divBdr>
        <w:top w:val="none" w:sz="0" w:space="0" w:color="auto"/>
        <w:left w:val="none" w:sz="0" w:space="0" w:color="auto"/>
        <w:bottom w:val="none" w:sz="0" w:space="0" w:color="auto"/>
        <w:right w:val="none" w:sz="0" w:space="0" w:color="auto"/>
      </w:divBdr>
    </w:div>
    <w:div w:id="998580681">
      <w:bodyDiv w:val="1"/>
      <w:marLeft w:val="0"/>
      <w:marRight w:val="0"/>
      <w:marTop w:val="0"/>
      <w:marBottom w:val="0"/>
      <w:divBdr>
        <w:top w:val="none" w:sz="0" w:space="0" w:color="auto"/>
        <w:left w:val="none" w:sz="0" w:space="0" w:color="auto"/>
        <w:bottom w:val="none" w:sz="0" w:space="0" w:color="auto"/>
        <w:right w:val="none" w:sz="0" w:space="0" w:color="auto"/>
      </w:divBdr>
    </w:div>
    <w:div w:id="1659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20</cp:revision>
  <cp:lastPrinted>2017-05-27T01:40:00Z</cp:lastPrinted>
  <dcterms:created xsi:type="dcterms:W3CDTF">2020-06-20T08:24:00Z</dcterms:created>
  <dcterms:modified xsi:type="dcterms:W3CDTF">2020-12-04T08:06:00Z</dcterms:modified>
</cp:coreProperties>
</file>